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</w:p>
    <w:p w:rsidR="00147CDD" w:rsidRPr="00DD0020" w:rsidRDefault="00147CDD" w:rsidP="00DD002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E06A3">
        <w:rPr>
          <w:rFonts w:ascii="Arial" w:eastAsia="Times New Roman" w:hAnsi="Arial" w:cs="Arial"/>
          <w:sz w:val="22"/>
          <w:lang w:val="sl-SI"/>
        </w:rPr>
        <w:t xml:space="preserve">, </w:t>
      </w:r>
      <w:r w:rsidR="00622BC5">
        <w:rPr>
          <w:rFonts w:ascii="Arial" w:eastAsia="Times New Roman" w:hAnsi="Arial" w:cs="Arial"/>
          <w:sz w:val="22"/>
          <w:lang w:val="sl-SI"/>
        </w:rPr>
        <w:t>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</w:t>
      </w:r>
      <w:r w:rsidR="006E06A3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 xml:space="preserve">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BE04EE">
        <w:rPr>
          <w:rFonts w:ascii="Arial" w:eastAsia="ヒラギノ角ゴ Pro W3" w:hAnsi="Arial" w:cs="Arial"/>
          <w:sz w:val="22"/>
          <w:lang w:val="en-US"/>
        </w:rPr>
        <w:t>Odbor</w:t>
      </w:r>
      <w:proofErr w:type="spellEnd"/>
      <w:r w:rsidR="00BE04EE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BE04EE">
        <w:rPr>
          <w:rFonts w:ascii="Arial" w:eastAsia="ヒラギノ角ゴ Pro W3" w:hAnsi="Arial" w:cs="Arial"/>
          <w:sz w:val="22"/>
          <w:lang w:val="en-US"/>
        </w:rPr>
        <w:t>povjerenika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</w:t>
      </w:r>
      <w:r w:rsidR="00BE04EE">
        <w:rPr>
          <w:rFonts w:ascii="Arial" w:eastAsia="ヒラギノ角ゴ Pro W3" w:hAnsi="Arial" w:cs="Arial"/>
          <w:sz w:val="22"/>
          <w:lang w:val="en-US"/>
        </w:rPr>
        <w:t>o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:rsidR="00125560" w:rsidRPr="00DD0020" w:rsidRDefault="00DD0020" w:rsidP="00DD0020">
      <w:pPr>
        <w:widowControl w:val="0"/>
        <w:suppressAutoHyphens/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DD0020">
        <w:rPr>
          <w:rFonts w:ascii="Arial" w:hAnsi="Arial" w:cs="Arial"/>
          <w:b/>
          <w:sz w:val="22"/>
        </w:rPr>
        <w:t>- građenje objekta trafostanice  NDTS „Mimoza-nova“ na katastarskoj parceli 3384 KO Tivat, urbanističkoj parceli UP 117 u zoni A, sa priklj</w:t>
      </w:r>
      <w:r>
        <w:rPr>
          <w:rFonts w:ascii="Arial" w:hAnsi="Arial" w:cs="Arial"/>
          <w:b/>
          <w:sz w:val="22"/>
        </w:rPr>
        <w:t xml:space="preserve">učnim 10Kv kablovskim vodovima: </w:t>
      </w:r>
      <w:r w:rsidRPr="00DD0020">
        <w:rPr>
          <w:rFonts w:ascii="Arial" w:hAnsi="Arial" w:cs="Arial"/>
          <w:b/>
          <w:sz w:val="22"/>
        </w:rPr>
        <w:t>planom predviđenim do TS Vračar koja se nalazi na kat.parc.br. 2292 KO Tivat preko kat.par.br. 3384, 3381, 3379, 3383</w:t>
      </w:r>
      <w:r>
        <w:rPr>
          <w:rFonts w:ascii="Arial" w:hAnsi="Arial" w:cs="Arial"/>
          <w:b/>
          <w:sz w:val="22"/>
        </w:rPr>
        <w:t xml:space="preserve">, 2285/1 i 2286/1 sve KO Tivat; </w:t>
      </w:r>
      <w:r w:rsidRPr="00DD0020">
        <w:rPr>
          <w:rFonts w:ascii="Arial" w:hAnsi="Arial" w:cs="Arial"/>
          <w:b/>
          <w:sz w:val="22"/>
        </w:rPr>
        <w:t xml:space="preserve">planom predviđenim do MBTS Pakovo koja se nalazi na kat.parc.br. 3412 KO Tivat preko kat.parc.br. 3384, 3386, 3377, 3376, 3373, 3372, 3368, 3366, 3358, 3364, 3363, 3362/2, 3362/1, 3360, 3387, 3388, 3389, 3396/3, 3397, </w:t>
      </w:r>
      <w:r>
        <w:rPr>
          <w:rFonts w:ascii="Arial" w:hAnsi="Arial" w:cs="Arial"/>
          <w:b/>
          <w:sz w:val="22"/>
        </w:rPr>
        <w:t xml:space="preserve">3406, 3410 i 3411 sve KO Tivat; </w:t>
      </w:r>
      <w:r w:rsidRPr="00DD0020">
        <w:rPr>
          <w:rFonts w:ascii="Arial" w:hAnsi="Arial" w:cs="Arial"/>
          <w:b/>
          <w:sz w:val="22"/>
        </w:rPr>
        <w:t>odlukom predviđenim novim kablom do TS Pine koja se nalazi na kat.parc.br. 2308 KO Tivat, a preko kat.parc.br.3384, 3377,3376,3</w:t>
      </w:r>
      <w:r>
        <w:rPr>
          <w:rFonts w:ascii="Arial" w:hAnsi="Arial" w:cs="Arial"/>
          <w:b/>
          <w:sz w:val="22"/>
        </w:rPr>
        <w:t>383,2266 i 2297/1 sve KO Tivat</w:t>
      </w:r>
      <w:r w:rsidRPr="00DD0020">
        <w:rPr>
          <w:rFonts w:ascii="Arial" w:hAnsi="Arial" w:cs="Arial"/>
          <w:b/>
          <w:sz w:val="22"/>
        </w:rPr>
        <w:t>, u obuhvatu DUP-a „Tivat-Centar“ (»Sl.list CG« br. 21/18)</w:t>
      </w:r>
    </w:p>
    <w:p w:rsidR="00DD0020" w:rsidRDefault="00DD0020" w:rsidP="00DD002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CB2447" w:rsidRPr="00CB2447" w:rsidRDefault="00147CDD" w:rsidP="00DD0020">
      <w:pPr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DD0020" w:rsidRPr="00DD0020">
        <w:rPr>
          <w:rFonts w:ascii="Arial" w:eastAsia="Times New Roman" w:hAnsi="Arial" w:cs="Arial"/>
          <w:sz w:val="22"/>
          <w:lang w:val="sl-SI"/>
        </w:rPr>
        <w:t>- građenje objekta trafostanice  NDTS „Mimoza-nova“ na katastarskoj parceli 3384 KO Tivat, urbanističkoj parceli UP 117 u zoni A, sa priključnim 10K</w:t>
      </w:r>
      <w:r w:rsidR="00DD0020">
        <w:rPr>
          <w:rFonts w:ascii="Arial" w:eastAsia="Times New Roman" w:hAnsi="Arial" w:cs="Arial"/>
          <w:sz w:val="22"/>
          <w:lang w:val="sl-SI"/>
        </w:rPr>
        <w:t xml:space="preserve">v kablovskim vodovima: </w:t>
      </w:r>
      <w:r w:rsidR="00DD0020" w:rsidRPr="00DD0020">
        <w:rPr>
          <w:rFonts w:ascii="Arial" w:eastAsia="Times New Roman" w:hAnsi="Arial" w:cs="Arial"/>
          <w:sz w:val="22"/>
          <w:lang w:val="sl-SI"/>
        </w:rPr>
        <w:t>planom predviđenim do TS Vračar koja se nalazi na kat.parc.br. 2292 KO Tivat preko kat.par.br. 3384, 3381, 3379, 3383</w:t>
      </w:r>
      <w:r w:rsidR="00DD0020">
        <w:rPr>
          <w:rFonts w:ascii="Arial" w:eastAsia="Times New Roman" w:hAnsi="Arial" w:cs="Arial"/>
          <w:sz w:val="22"/>
          <w:lang w:val="sl-SI"/>
        </w:rPr>
        <w:t xml:space="preserve">, 2285/1 i 2286/1 sve KO Tivat; </w:t>
      </w:r>
      <w:r w:rsidR="00DD0020" w:rsidRPr="00DD0020">
        <w:rPr>
          <w:rFonts w:ascii="Arial" w:eastAsia="Times New Roman" w:hAnsi="Arial" w:cs="Arial"/>
          <w:sz w:val="22"/>
          <w:lang w:val="sl-SI"/>
        </w:rPr>
        <w:t xml:space="preserve">planom predviđenim do MBTS Pakovo koja se nalazi na kat.parc.br. 3412 KO Tivat preko kat.parc.br. 3384, 3386, 3377, 3376, 3373, 3372, 3368, 3366, 3358, 3364, 3363, 3362/2, 3362/1, 3360, 3387, 3388, 3389, 3396/3, 3397, </w:t>
      </w:r>
      <w:r w:rsidR="00DD0020">
        <w:rPr>
          <w:rFonts w:ascii="Arial" w:eastAsia="Times New Roman" w:hAnsi="Arial" w:cs="Arial"/>
          <w:sz w:val="22"/>
          <w:lang w:val="sl-SI"/>
        </w:rPr>
        <w:t xml:space="preserve">3406, 3410 i 3411 sve KO Tivat; </w:t>
      </w:r>
      <w:r w:rsidR="00DD0020" w:rsidRPr="00DD0020">
        <w:rPr>
          <w:rFonts w:ascii="Arial" w:eastAsia="Times New Roman" w:hAnsi="Arial" w:cs="Arial"/>
          <w:sz w:val="22"/>
          <w:lang w:val="sl-SI"/>
        </w:rPr>
        <w:t>odlukom predviđenim novim kablom do TS Pine koja se nalazi na kat.parc.br. 2308 KO Tivat, a preko kat.parc.br.3384, 3377,3376,3</w:t>
      </w:r>
      <w:r w:rsidR="00DD0020">
        <w:rPr>
          <w:rFonts w:ascii="Arial" w:eastAsia="Times New Roman" w:hAnsi="Arial" w:cs="Arial"/>
          <w:sz w:val="22"/>
          <w:lang w:val="sl-SI"/>
        </w:rPr>
        <w:t>383,2266 i 2297/1 sve KO Tivat</w:t>
      </w:r>
      <w:r w:rsidR="00DD0020" w:rsidRPr="00DD0020">
        <w:rPr>
          <w:rFonts w:ascii="Arial" w:eastAsia="Times New Roman" w:hAnsi="Arial" w:cs="Arial"/>
          <w:sz w:val="22"/>
          <w:lang w:val="sl-SI"/>
        </w:rPr>
        <w:t>, u obuhvatu DUP-a „Tivat-Centar“ (»Sl.list CG« br. 21/18)</w:t>
      </w:r>
      <w:r w:rsidR="00CB2447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D21702" w:rsidRDefault="00CB2447" w:rsidP="00D21702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određivanje </w:t>
      </w:r>
      <w:r w:rsidR="006E06A3">
        <w:rPr>
          <w:rFonts w:ascii="Arial" w:hAnsi="Arial" w:cs="Arial"/>
          <w:bCs/>
          <w:sz w:val="22"/>
        </w:rPr>
        <w:t xml:space="preserve">lokacije </w:t>
      </w:r>
      <w:r w:rsidRPr="002F681B">
        <w:rPr>
          <w:rFonts w:ascii="Arial" w:hAnsi="Arial" w:cs="Arial"/>
          <w:bCs/>
          <w:sz w:val="22"/>
        </w:rPr>
        <w:t xml:space="preserve"> </w:t>
      </w:r>
      <w:r w:rsidR="00DD0020" w:rsidRPr="00DD0020">
        <w:rPr>
          <w:rFonts w:ascii="Arial" w:hAnsi="Arial" w:cs="Arial"/>
          <w:bCs/>
          <w:sz w:val="22"/>
        </w:rPr>
        <w:t xml:space="preserve">NDTS „Mimoza-nova“ </w:t>
      </w:r>
      <w:r w:rsidR="006E06A3" w:rsidRPr="006E06A3">
        <w:rPr>
          <w:rFonts w:ascii="Arial" w:hAnsi="Arial" w:cs="Arial"/>
          <w:bCs/>
          <w:sz w:val="22"/>
        </w:rPr>
        <w:t xml:space="preserve">sa priključnim 10 </w:t>
      </w:r>
      <w:r w:rsidR="00BE04EE">
        <w:rPr>
          <w:rFonts w:ascii="Arial" w:hAnsi="Arial" w:cs="Arial"/>
          <w:bCs/>
          <w:sz w:val="22"/>
        </w:rPr>
        <w:t>kV</w:t>
      </w:r>
      <w:r w:rsidR="006E06A3" w:rsidRPr="006E06A3">
        <w:rPr>
          <w:rFonts w:ascii="Arial" w:hAnsi="Arial" w:cs="Arial"/>
          <w:bCs/>
          <w:sz w:val="22"/>
        </w:rPr>
        <w:t xml:space="preserve"> vodo</w:t>
      </w:r>
      <w:r w:rsidR="00DD0020">
        <w:rPr>
          <w:rFonts w:ascii="Arial" w:hAnsi="Arial" w:cs="Arial"/>
          <w:bCs/>
          <w:sz w:val="22"/>
        </w:rPr>
        <w:t>vima</w:t>
      </w:r>
      <w:r w:rsidR="006E06A3">
        <w:rPr>
          <w:rFonts w:ascii="Arial" w:hAnsi="Arial" w:cs="Arial"/>
          <w:bCs/>
          <w:sz w:val="22"/>
        </w:rPr>
        <w:t>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P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</w:t>
      </w:r>
      <w:r w:rsidR="00D21702" w:rsidRPr="00D21702">
        <w:rPr>
          <w:rFonts w:ascii="Arial" w:eastAsia="Times New Roman" w:hAnsi="Arial" w:cs="Arial"/>
          <w:sz w:val="22"/>
          <w:lang w:val="sl-SI"/>
        </w:rPr>
        <w:t xml:space="preserve">NDTS </w:t>
      </w:r>
      <w:r w:rsidR="00D21702">
        <w:rPr>
          <w:rFonts w:ascii="Arial" w:eastAsia="Times New Roman" w:hAnsi="Arial" w:cs="Arial"/>
          <w:sz w:val="22"/>
          <w:lang w:val="sl-SI"/>
        </w:rPr>
        <w:t xml:space="preserve">i </w:t>
      </w:r>
      <w:r w:rsidR="006E3824">
        <w:rPr>
          <w:rFonts w:ascii="Arial" w:eastAsia="Times New Roman" w:hAnsi="Arial" w:cs="Arial"/>
          <w:sz w:val="22"/>
          <w:lang w:val="sl-SI"/>
        </w:rPr>
        <w:t>kablovsk</w:t>
      </w:r>
      <w:r w:rsidR="00DD0020">
        <w:rPr>
          <w:rFonts w:ascii="Arial" w:eastAsia="Times New Roman" w:hAnsi="Arial" w:cs="Arial"/>
          <w:sz w:val="22"/>
          <w:lang w:val="sl-SI"/>
        </w:rPr>
        <w:t>ih</w:t>
      </w:r>
      <w:r w:rsidR="004D1AD1">
        <w:rPr>
          <w:rFonts w:ascii="Arial" w:eastAsia="Times New Roman" w:hAnsi="Arial" w:cs="Arial"/>
          <w:sz w:val="22"/>
          <w:lang w:val="sl-SI"/>
        </w:rPr>
        <w:t xml:space="preserve"> </w:t>
      </w:r>
      <w:r w:rsidR="006E3824">
        <w:rPr>
          <w:rFonts w:ascii="Arial" w:eastAsia="Times New Roman" w:hAnsi="Arial" w:cs="Arial"/>
          <w:sz w:val="22"/>
          <w:lang w:val="sl-SI"/>
        </w:rPr>
        <w:t>vod</w:t>
      </w:r>
      <w:r w:rsidR="00DD0020">
        <w:rPr>
          <w:rFonts w:ascii="Arial" w:eastAsia="Times New Roman" w:hAnsi="Arial" w:cs="Arial"/>
          <w:sz w:val="22"/>
          <w:lang w:val="sl-SI"/>
        </w:rPr>
        <w:t>ov</w:t>
      </w:r>
      <w:r w:rsidR="004D1AD1" w:rsidRPr="00CB2447">
        <w:rPr>
          <w:rFonts w:ascii="Arial" w:eastAsia="Times New Roman" w:hAnsi="Arial" w:cs="Arial"/>
          <w:sz w:val="22"/>
          <w:lang w:val="sl-SI"/>
        </w:rPr>
        <w:t xml:space="preserve">a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</w:p>
    <w:p w:rsidR="00147CDD" w:rsidRPr="00D21702" w:rsidRDefault="00977BD2" w:rsidP="00D21702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od dana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proofErr w:type="spellStart"/>
      <w:proofErr w:type="gram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:_</w:t>
      </w:r>
      <w:proofErr w:type="gram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_________ </w:t>
      </w:r>
    </w:p>
    <w:p w:rsidR="00125560" w:rsidRDefault="004E0D2B" w:rsidP="00DD0020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.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godine</w:t>
      </w:r>
      <w:proofErr w:type="spellEnd"/>
    </w:p>
    <w:p w:rsidR="00BE04EE" w:rsidRDefault="00BE04EE" w:rsidP="00BE04EE">
      <w:pPr>
        <w:widowControl w:val="0"/>
        <w:shd w:val="clear" w:color="auto" w:fill="FFFFFF"/>
        <w:spacing w:line="240" w:lineRule="auto"/>
        <w:ind w:left="2836" w:hanging="2836"/>
        <w:jc w:val="center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Odbor</w:t>
      </w:r>
      <w:proofErr w:type="spellEnd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povjerenika</w:t>
      </w:r>
      <w:proofErr w:type="spellEnd"/>
    </w:p>
    <w:p w:rsidR="00BE04EE" w:rsidRDefault="00BE04EE" w:rsidP="00BE04EE">
      <w:pPr>
        <w:widowControl w:val="0"/>
        <w:shd w:val="clear" w:color="auto" w:fill="FFFFFF"/>
        <w:spacing w:line="240" w:lineRule="auto"/>
        <w:ind w:left="2836" w:hanging="2836"/>
        <w:jc w:val="center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Predsjednik</w:t>
      </w:r>
      <w:proofErr w:type="spellEnd"/>
    </w:p>
    <w:p w:rsidR="00D21702" w:rsidRPr="00DD0020" w:rsidRDefault="00BE04EE" w:rsidP="00DD0020">
      <w:pPr>
        <w:widowControl w:val="0"/>
        <w:shd w:val="clear" w:color="auto" w:fill="FFFFFF"/>
        <w:spacing w:line="240" w:lineRule="auto"/>
        <w:ind w:left="2836" w:hanging="2836"/>
        <w:jc w:val="center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Goran Sindik</w:t>
      </w: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lastRenderedPageBreak/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DD002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D21702">
        <w:rPr>
          <w:rFonts w:ascii="Arial" w:hAnsi="Arial" w:cs="Arial"/>
          <w:sz w:val="22"/>
        </w:rPr>
        <w:t>Društva sa ograničenom odgovornošću „</w:t>
      </w:r>
      <w:r w:rsidR="00DD0020">
        <w:rPr>
          <w:rFonts w:ascii="Arial" w:eastAsia="Times New Roman" w:hAnsi="Arial" w:cs="Arial"/>
          <w:sz w:val="22"/>
          <w:lang w:val="sl-SI"/>
        </w:rPr>
        <w:t>Mimoza Group</w:t>
      </w:r>
      <w:r w:rsidR="00D21702">
        <w:rPr>
          <w:rFonts w:ascii="Arial" w:eastAsia="Times New Roman" w:hAnsi="Arial" w:cs="Arial"/>
          <w:sz w:val="22"/>
          <w:lang w:val="sl-SI"/>
        </w:rPr>
        <w:t xml:space="preserve">« </w:t>
      </w:r>
      <w:r w:rsidR="00DD0020">
        <w:rPr>
          <w:rFonts w:ascii="Arial" w:eastAsia="Times New Roman" w:hAnsi="Arial" w:cs="Arial"/>
          <w:sz w:val="22"/>
          <w:lang w:val="sl-SI"/>
        </w:rPr>
        <w:t>Tivat</w:t>
      </w:r>
      <w:r w:rsidR="00D21702">
        <w:rPr>
          <w:rFonts w:ascii="Arial" w:eastAsia="Times New Roman" w:hAnsi="Arial" w:cs="Arial"/>
          <w:sz w:val="22"/>
          <w:lang w:val="sl-SI"/>
        </w:rPr>
        <w:t xml:space="preserve"> </w:t>
      </w:r>
      <w:r>
        <w:rPr>
          <w:rFonts w:ascii="Arial" w:eastAsia="Times New Roman" w:hAnsi="Arial" w:cs="Arial"/>
          <w:sz w:val="22"/>
          <w:lang w:val="sl-SI"/>
        </w:rPr>
        <w:t xml:space="preserve">donijeta je Odluka o pristupanju izgradnji lokalnog objekta od opšteg interesa, broj: </w:t>
      </w:r>
      <w:r w:rsidR="00522AA4" w:rsidRPr="006837A9">
        <w:rPr>
          <w:rFonts w:ascii="Arial" w:eastAsia="Times New Roman" w:hAnsi="Arial" w:cs="Arial"/>
          <w:sz w:val="22"/>
          <w:lang w:val="sl-SI"/>
        </w:rPr>
        <w:t>01-33</w:t>
      </w:r>
      <w:r w:rsidR="006E3824">
        <w:rPr>
          <w:rFonts w:ascii="Arial" w:eastAsia="Times New Roman" w:hAnsi="Arial" w:cs="Arial"/>
          <w:sz w:val="22"/>
          <w:lang w:val="sl-SI"/>
        </w:rPr>
        <w:t>2</w:t>
      </w:r>
      <w:r w:rsidR="00522AA4" w:rsidRPr="006837A9">
        <w:rPr>
          <w:rFonts w:ascii="Arial" w:eastAsia="Times New Roman" w:hAnsi="Arial" w:cs="Arial"/>
          <w:sz w:val="22"/>
          <w:lang w:val="sl-SI"/>
        </w:rPr>
        <w:t>/2</w:t>
      </w:r>
      <w:r w:rsidR="00DD0020">
        <w:rPr>
          <w:rFonts w:ascii="Arial" w:eastAsia="Times New Roman" w:hAnsi="Arial" w:cs="Arial"/>
          <w:sz w:val="22"/>
          <w:lang w:val="sl-SI"/>
        </w:rPr>
        <w:t>0</w:t>
      </w:r>
      <w:r w:rsidR="00522AA4" w:rsidRPr="006837A9">
        <w:rPr>
          <w:rFonts w:ascii="Arial" w:eastAsia="Times New Roman" w:hAnsi="Arial" w:cs="Arial"/>
          <w:sz w:val="22"/>
          <w:lang w:val="sl-SI"/>
        </w:rPr>
        <w:t>-</w:t>
      </w:r>
      <w:r w:rsidR="00DD0020">
        <w:rPr>
          <w:rFonts w:ascii="Arial" w:eastAsia="Times New Roman" w:hAnsi="Arial" w:cs="Arial"/>
          <w:sz w:val="22"/>
          <w:lang w:val="sl-SI"/>
        </w:rPr>
        <w:t>240/3</w:t>
      </w:r>
      <w:r w:rsidR="00522AA4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DD0020">
        <w:rPr>
          <w:rFonts w:ascii="Arial" w:eastAsia="Times New Roman" w:hAnsi="Arial" w:cs="Arial"/>
          <w:sz w:val="22"/>
          <w:lang w:val="sl-SI"/>
        </w:rPr>
        <w:t>18</w:t>
      </w:r>
      <w:r w:rsidR="009B1907">
        <w:rPr>
          <w:rFonts w:ascii="Arial" w:eastAsia="Times New Roman" w:hAnsi="Arial" w:cs="Arial"/>
          <w:sz w:val="22"/>
          <w:lang w:val="sl-SI"/>
        </w:rPr>
        <w:t>.</w:t>
      </w:r>
      <w:r w:rsidR="00DD0020">
        <w:rPr>
          <w:rFonts w:ascii="Arial" w:eastAsia="Times New Roman" w:hAnsi="Arial" w:cs="Arial"/>
          <w:sz w:val="22"/>
          <w:lang w:val="sl-SI"/>
        </w:rPr>
        <w:t>10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DD0020" w:rsidRPr="00DD0020">
        <w:rPr>
          <w:rFonts w:ascii="Arial" w:eastAsia="Times New Roman" w:hAnsi="Arial" w:cs="Arial"/>
          <w:sz w:val="22"/>
          <w:lang w:val="sl-SI"/>
        </w:rPr>
        <w:t>NDTS „Mimoza-nova“ na katastarskoj parceli 3384 KO Tivat, urbanističkoj parceli UP 117 u zoni A, sa priklj</w:t>
      </w:r>
      <w:r w:rsidR="00DD0020">
        <w:rPr>
          <w:rFonts w:ascii="Arial" w:eastAsia="Times New Roman" w:hAnsi="Arial" w:cs="Arial"/>
          <w:sz w:val="22"/>
          <w:lang w:val="sl-SI"/>
        </w:rPr>
        <w:t xml:space="preserve">učnim 10Kv kablovskim vodovima: </w:t>
      </w:r>
      <w:r w:rsidR="00DD0020" w:rsidRPr="00DD0020">
        <w:rPr>
          <w:rFonts w:ascii="Arial" w:eastAsia="Times New Roman" w:hAnsi="Arial" w:cs="Arial"/>
          <w:sz w:val="22"/>
          <w:lang w:val="sl-SI"/>
        </w:rPr>
        <w:t>planom predviđenim do TS Vračar koja se nalazi na kat.parc.br. 2292 KO Tivat preko kat.par.br. 3384, 3381, 3379, 3383</w:t>
      </w:r>
      <w:r w:rsidR="00DD0020">
        <w:rPr>
          <w:rFonts w:ascii="Arial" w:eastAsia="Times New Roman" w:hAnsi="Arial" w:cs="Arial"/>
          <w:sz w:val="22"/>
          <w:lang w:val="sl-SI"/>
        </w:rPr>
        <w:t xml:space="preserve">, 2285/1 i 2286/1 sve KO Tivat; </w:t>
      </w:r>
      <w:r w:rsidR="00DD0020" w:rsidRPr="00DD0020">
        <w:rPr>
          <w:rFonts w:ascii="Arial" w:eastAsia="Times New Roman" w:hAnsi="Arial" w:cs="Arial"/>
          <w:sz w:val="22"/>
          <w:lang w:val="sl-SI"/>
        </w:rPr>
        <w:t xml:space="preserve">planom predviđenim do MBTS Pakovo koja se nalazi na kat.parc.br. 3412 KO Tivat preko kat.parc.br. 3384, 3386, 3377, 3376, 3373, 3372, 3368, 3366, 3358, 3364, 3363, 3362/2, 3362/1, 3360, 3387, 3388, 3389, 3396/3, 3397, </w:t>
      </w:r>
      <w:r w:rsidR="00DD0020">
        <w:rPr>
          <w:rFonts w:ascii="Arial" w:eastAsia="Times New Roman" w:hAnsi="Arial" w:cs="Arial"/>
          <w:sz w:val="22"/>
          <w:lang w:val="sl-SI"/>
        </w:rPr>
        <w:t xml:space="preserve">3406, 3410 i 3411 sve KO Tivat; </w:t>
      </w:r>
      <w:r w:rsidR="00DD0020" w:rsidRPr="00DD0020">
        <w:rPr>
          <w:rFonts w:ascii="Arial" w:eastAsia="Times New Roman" w:hAnsi="Arial" w:cs="Arial"/>
          <w:sz w:val="22"/>
          <w:lang w:val="sl-SI"/>
        </w:rPr>
        <w:t>odlukom predviđenim novim kablom do TS Pine koja se nalazi na kat.parc.br. 2308 KO Tivat, a preko kat.parc.br.3384, 3377,3376,3</w:t>
      </w:r>
      <w:r w:rsidR="00DD0020">
        <w:rPr>
          <w:rFonts w:ascii="Arial" w:eastAsia="Times New Roman" w:hAnsi="Arial" w:cs="Arial"/>
          <w:sz w:val="22"/>
          <w:lang w:val="sl-SI"/>
        </w:rPr>
        <w:t>383,2266 i 2297/1 sve KO Tivat</w:t>
      </w:r>
      <w:r w:rsidR="00DD0020" w:rsidRPr="00DD0020">
        <w:rPr>
          <w:rFonts w:ascii="Arial" w:eastAsia="Times New Roman" w:hAnsi="Arial" w:cs="Arial"/>
          <w:sz w:val="22"/>
          <w:lang w:val="sl-SI"/>
        </w:rPr>
        <w:t>, u obuhvatu DUP-a „Tivat-Centar“ (»Sl.list CG« br. 21/18)</w:t>
      </w:r>
      <w:r w:rsidR="009B1907">
        <w:rPr>
          <w:rFonts w:ascii="Arial" w:eastAsia="Times New Roman" w:hAnsi="Arial" w:cs="Arial"/>
          <w:sz w:val="22"/>
          <w:lang w:val="sl-SI"/>
        </w:rPr>
        <w:t>, sa nacrtom programskog zadatka</w:t>
      </w:r>
      <w:r w:rsidR="00650358" w:rsidRPr="00650358">
        <w:rPr>
          <w:rFonts w:ascii="Arial" w:eastAsia="Times New Roman" w:hAnsi="Arial" w:cs="Arial"/>
          <w:sz w:val="22"/>
          <w:lang w:val="sl-SI"/>
        </w:rPr>
        <w:t xml:space="preserve"> </w:t>
      </w:r>
      <w:r w:rsidR="00650358">
        <w:rPr>
          <w:rFonts w:ascii="Arial" w:eastAsia="Times New Roman" w:hAnsi="Arial" w:cs="Arial"/>
          <w:sz w:val="22"/>
          <w:lang w:val="sl-SI"/>
        </w:rPr>
        <w:t xml:space="preserve">broj: </w:t>
      </w:r>
      <w:r w:rsidR="00650358" w:rsidRPr="006837A9">
        <w:rPr>
          <w:rFonts w:ascii="Arial" w:hAnsi="Arial" w:cs="Arial"/>
          <w:bCs/>
          <w:sz w:val="22"/>
        </w:rPr>
        <w:t>09-33</w:t>
      </w:r>
      <w:r w:rsidR="0070420B">
        <w:rPr>
          <w:rFonts w:ascii="Arial" w:hAnsi="Arial" w:cs="Arial"/>
          <w:bCs/>
          <w:sz w:val="22"/>
        </w:rPr>
        <w:t>2</w:t>
      </w:r>
      <w:r w:rsidR="00650358" w:rsidRPr="006837A9">
        <w:rPr>
          <w:rFonts w:ascii="Arial" w:hAnsi="Arial" w:cs="Arial"/>
          <w:bCs/>
          <w:sz w:val="22"/>
        </w:rPr>
        <w:t>/2</w:t>
      </w:r>
      <w:r w:rsidR="00DD0020">
        <w:rPr>
          <w:rFonts w:ascii="Arial" w:hAnsi="Arial" w:cs="Arial"/>
          <w:bCs/>
          <w:sz w:val="22"/>
        </w:rPr>
        <w:t>1</w:t>
      </w:r>
      <w:r w:rsidR="00650358" w:rsidRPr="006837A9">
        <w:rPr>
          <w:rFonts w:ascii="Arial" w:hAnsi="Arial" w:cs="Arial"/>
          <w:bCs/>
          <w:sz w:val="22"/>
        </w:rPr>
        <w:t>-</w:t>
      </w:r>
      <w:r w:rsidR="00DD0020">
        <w:rPr>
          <w:rFonts w:ascii="Arial" w:hAnsi="Arial" w:cs="Arial"/>
          <w:bCs/>
          <w:sz w:val="22"/>
        </w:rPr>
        <w:t>281</w:t>
      </w:r>
      <w:r w:rsidR="00650358" w:rsidRPr="006837A9">
        <w:rPr>
          <w:rFonts w:ascii="Arial" w:hAnsi="Arial" w:cs="Arial"/>
          <w:bCs/>
          <w:sz w:val="22"/>
        </w:rPr>
        <w:t>/</w:t>
      </w:r>
      <w:r w:rsidR="00DD0020">
        <w:rPr>
          <w:rFonts w:ascii="Arial" w:hAnsi="Arial" w:cs="Arial"/>
          <w:bCs/>
          <w:sz w:val="22"/>
        </w:rPr>
        <w:t>9</w:t>
      </w:r>
      <w:r w:rsidR="00650358" w:rsidRPr="006837A9">
        <w:rPr>
          <w:rFonts w:ascii="Arial" w:hAnsi="Arial" w:cs="Arial"/>
          <w:sz w:val="22"/>
        </w:rPr>
        <w:t xml:space="preserve"> od </w:t>
      </w:r>
      <w:r w:rsidR="00DD0020">
        <w:rPr>
          <w:rFonts w:ascii="Arial" w:eastAsia="Times New Roman" w:hAnsi="Arial" w:cs="Arial"/>
          <w:sz w:val="22"/>
          <w:lang w:val="sl-SI"/>
        </w:rPr>
        <w:t>17</w:t>
      </w:r>
      <w:r w:rsidR="00650358" w:rsidRPr="006837A9">
        <w:rPr>
          <w:rFonts w:ascii="Arial" w:eastAsia="Times New Roman" w:hAnsi="Arial" w:cs="Arial"/>
          <w:sz w:val="22"/>
          <w:lang w:val="sl-SI"/>
        </w:rPr>
        <w:t>.</w:t>
      </w:r>
      <w:r w:rsidR="00DD0020">
        <w:rPr>
          <w:rFonts w:ascii="Arial" w:eastAsia="Times New Roman" w:hAnsi="Arial" w:cs="Arial"/>
          <w:sz w:val="22"/>
          <w:lang w:val="sl-SI"/>
        </w:rPr>
        <w:t>10</w:t>
      </w:r>
      <w:r w:rsidR="00650358" w:rsidRPr="006837A9">
        <w:rPr>
          <w:rFonts w:ascii="Arial" w:eastAsia="Times New Roman" w:hAnsi="Arial" w:cs="Arial"/>
          <w:sz w:val="22"/>
          <w:lang w:val="sl-SI"/>
        </w:rPr>
        <w:t>.202</w:t>
      </w:r>
      <w:r w:rsidR="00650358">
        <w:rPr>
          <w:rFonts w:ascii="Arial" w:eastAsia="Times New Roman" w:hAnsi="Arial" w:cs="Arial"/>
          <w:sz w:val="22"/>
          <w:lang w:val="sl-SI"/>
        </w:rPr>
        <w:t>2</w:t>
      </w:r>
      <w:r w:rsidR="00650358" w:rsidRPr="006837A9">
        <w:rPr>
          <w:rFonts w:ascii="Arial" w:eastAsia="Times New Roman" w:hAnsi="Arial" w:cs="Arial"/>
          <w:sz w:val="22"/>
          <w:lang w:val="sl-SI"/>
        </w:rPr>
        <w:t>.</w:t>
      </w:r>
      <w:r w:rsidR="00650358" w:rsidRPr="006837A9">
        <w:rPr>
          <w:rFonts w:ascii="Arial" w:hAnsi="Arial" w:cs="Arial"/>
          <w:sz w:val="22"/>
        </w:rPr>
        <w:t xml:space="preserve">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35752" w:rsidRPr="00335752" w:rsidRDefault="00335752" w:rsidP="00335752">
      <w:pPr>
        <w:widowControl w:val="0"/>
        <w:suppressAutoHyphens/>
        <w:spacing w:before="0" w:after="0" w:line="240" w:lineRule="auto"/>
        <w:rPr>
          <w:rFonts w:ascii="Arial" w:hAnsi="Arial" w:cs="Arial"/>
          <w:bCs/>
          <w:sz w:val="22"/>
        </w:rPr>
      </w:pPr>
      <w:r w:rsidRPr="00335752">
        <w:rPr>
          <w:rFonts w:ascii="Arial" w:hAnsi="Arial" w:cs="Arial"/>
          <w:bCs/>
          <w:sz w:val="22"/>
        </w:rPr>
        <w:t xml:space="preserve">Predmet ove Odluke je određivanje lokacije  </w:t>
      </w:r>
      <w:r w:rsidR="00DD0020" w:rsidRPr="00DD0020">
        <w:rPr>
          <w:rFonts w:ascii="Arial" w:hAnsi="Arial" w:cs="Arial"/>
          <w:bCs/>
          <w:sz w:val="22"/>
        </w:rPr>
        <w:t>NDTS „Mimoza-nova“ sa priključnim 10 kV vodovima</w:t>
      </w:r>
      <w:bookmarkStart w:id="0" w:name="_GoBack"/>
      <w:bookmarkEnd w:id="0"/>
      <w:r w:rsidRPr="00335752">
        <w:rPr>
          <w:rFonts w:ascii="Arial" w:hAnsi="Arial" w:cs="Arial"/>
          <w:bCs/>
          <w:sz w:val="22"/>
        </w:rPr>
        <w:t>.</w:t>
      </w:r>
    </w:p>
    <w:p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</w:t>
      </w:r>
      <w:r w:rsidR="00BE04EE">
        <w:rPr>
          <w:rFonts w:ascii="Arial" w:eastAsia="Times New Roman" w:hAnsi="Arial" w:cs="Arial"/>
          <w:sz w:val="22"/>
          <w:lang w:val="sr-Latn-CS"/>
        </w:rPr>
        <w:t>,</w:t>
      </w:r>
      <w:r>
        <w:rPr>
          <w:rFonts w:ascii="Arial" w:eastAsia="Times New Roman" w:hAnsi="Arial" w:cs="Arial"/>
          <w:sz w:val="22"/>
          <w:lang w:val="sr-Latn-CS"/>
        </w:rPr>
        <w:t xml:space="preserve"> a na osnovu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D24C17">
      <w:headerReference w:type="default" r:id="rId9"/>
      <w:headerReference w:type="first" r:id="rId10"/>
      <w:pgSz w:w="11906" w:h="16838" w:code="9"/>
      <w:pgMar w:top="720" w:right="720" w:bottom="720" w:left="720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863" w:rsidRDefault="00735863" w:rsidP="00A6505B">
      <w:pPr>
        <w:spacing w:before="0" w:after="0" w:line="240" w:lineRule="auto"/>
      </w:pPr>
      <w:r>
        <w:separator/>
      </w:r>
    </w:p>
  </w:endnote>
  <w:endnote w:type="continuationSeparator" w:id="0">
    <w:p w:rsidR="00735863" w:rsidRDefault="00735863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863" w:rsidRDefault="00735863" w:rsidP="00A6505B">
      <w:pPr>
        <w:spacing w:before="0" w:after="0" w:line="240" w:lineRule="auto"/>
      </w:pPr>
      <w:r>
        <w:separator/>
      </w:r>
    </w:p>
  </w:footnote>
  <w:footnote w:type="continuationSeparator" w:id="0">
    <w:p w:rsidR="00735863" w:rsidRDefault="00735863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="0094556D">
      <w:rPr>
        <w:rFonts w:ascii="Arial" w:hAnsi="Arial" w:cs="Arial"/>
        <w:sz w:val="22"/>
      </w:rPr>
      <w:t xml:space="preserve">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A2D25"/>
    <w:rsid w:val="000B314D"/>
    <w:rsid w:val="000B56D4"/>
    <w:rsid w:val="000C1C3B"/>
    <w:rsid w:val="000C22EC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1875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0322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10A91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1928"/>
    <w:rsid w:val="00292D5E"/>
    <w:rsid w:val="002A7CB3"/>
    <w:rsid w:val="002B40DD"/>
    <w:rsid w:val="002C364F"/>
    <w:rsid w:val="002C4A23"/>
    <w:rsid w:val="002C589C"/>
    <w:rsid w:val="002D2BBB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5752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856A0"/>
    <w:rsid w:val="00392516"/>
    <w:rsid w:val="00393366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6AE1"/>
    <w:rsid w:val="004112D5"/>
    <w:rsid w:val="004144C2"/>
    <w:rsid w:val="00414DBC"/>
    <w:rsid w:val="00415CC7"/>
    <w:rsid w:val="0041733B"/>
    <w:rsid w:val="00434611"/>
    <w:rsid w:val="004378E1"/>
    <w:rsid w:val="00437E05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D78"/>
    <w:rsid w:val="004942F6"/>
    <w:rsid w:val="004966FB"/>
    <w:rsid w:val="004A66C2"/>
    <w:rsid w:val="004B18A5"/>
    <w:rsid w:val="004C076D"/>
    <w:rsid w:val="004C1C4C"/>
    <w:rsid w:val="004D1AD1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2AA4"/>
    <w:rsid w:val="00523147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0358"/>
    <w:rsid w:val="00653BFF"/>
    <w:rsid w:val="0065402A"/>
    <w:rsid w:val="00655044"/>
    <w:rsid w:val="0066301F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06A3"/>
    <w:rsid w:val="006E262C"/>
    <w:rsid w:val="006E3824"/>
    <w:rsid w:val="006F0A9B"/>
    <w:rsid w:val="006F7E18"/>
    <w:rsid w:val="00701555"/>
    <w:rsid w:val="0070420B"/>
    <w:rsid w:val="00722040"/>
    <w:rsid w:val="0073561A"/>
    <w:rsid w:val="00735760"/>
    <w:rsid w:val="00735863"/>
    <w:rsid w:val="00735EDA"/>
    <w:rsid w:val="00741F25"/>
    <w:rsid w:val="007447C4"/>
    <w:rsid w:val="007450D2"/>
    <w:rsid w:val="00745569"/>
    <w:rsid w:val="007559F7"/>
    <w:rsid w:val="00763B58"/>
    <w:rsid w:val="0077100B"/>
    <w:rsid w:val="00782B17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556D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C4E6A"/>
    <w:rsid w:val="009C6729"/>
    <w:rsid w:val="009E621A"/>
    <w:rsid w:val="009E797A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066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6BB8"/>
    <w:rsid w:val="00BA03E8"/>
    <w:rsid w:val="00BA2CA7"/>
    <w:rsid w:val="00BA6FE5"/>
    <w:rsid w:val="00BB56F8"/>
    <w:rsid w:val="00BC685D"/>
    <w:rsid w:val="00BC79C0"/>
    <w:rsid w:val="00BE04EE"/>
    <w:rsid w:val="00BE0605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4360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A2A9B"/>
    <w:rsid w:val="00CA4058"/>
    <w:rsid w:val="00CB1C16"/>
    <w:rsid w:val="00CB2447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1175E"/>
    <w:rsid w:val="00D21702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83E25"/>
    <w:rsid w:val="00D915BC"/>
    <w:rsid w:val="00DA79A1"/>
    <w:rsid w:val="00DB46E7"/>
    <w:rsid w:val="00DB73C2"/>
    <w:rsid w:val="00DC0960"/>
    <w:rsid w:val="00DC4EB6"/>
    <w:rsid w:val="00DC5DF1"/>
    <w:rsid w:val="00DC6B0C"/>
    <w:rsid w:val="00DD0020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3EEC"/>
    <w:rsid w:val="00EC4005"/>
    <w:rsid w:val="00ED066A"/>
    <w:rsid w:val="00ED1AA9"/>
    <w:rsid w:val="00ED2784"/>
    <w:rsid w:val="00ED783D"/>
    <w:rsid w:val="00EE2CF5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A2E39"/>
    <w:rsid w:val="00FB1060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28D6D"/>
  <w15:docId w15:val="{E2F3548C-17F7-4BAC-AD64-E5A71B6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3527C7-C54C-47BA-A892-5D56987A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Milica Manojlovic</cp:lastModifiedBy>
  <cp:revision>2</cp:revision>
  <cp:lastPrinted>2022-11-14T13:49:00Z</cp:lastPrinted>
  <dcterms:created xsi:type="dcterms:W3CDTF">2022-11-14T13:49:00Z</dcterms:created>
  <dcterms:modified xsi:type="dcterms:W3CDTF">2022-11-14T13:49:00Z</dcterms:modified>
</cp:coreProperties>
</file>